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18"/>
          <w:szCs w:val="18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bookmarkStart w:colFirst="0" w:colLast="0" w:name="_heading=h.n3j2su1g1sfh" w:id="0"/>
      <w:bookmarkEnd w:id="0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RONPA0395ZPB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Plaiul Domnesc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☑</w:t>
      </w:r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1,77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4,74%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000"/>
      </w:tblPr>
      <w:tblGrid>
        <w:gridCol w:w="3158"/>
        <w:gridCol w:w="444"/>
        <w:gridCol w:w="5398"/>
        <w:tblGridChange w:id="0">
          <w:tblGrid>
            <w:gridCol w:w="3158"/>
            <w:gridCol w:w="444"/>
            <w:gridCol w:w="539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Sud-Muntenia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Dâmbovița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000"/>
      </w:tblPr>
      <w:tblGrid>
        <w:gridCol w:w="2937"/>
        <w:gridCol w:w="47"/>
        <w:gridCol w:w="3007"/>
        <w:gridCol w:w="47"/>
        <w:gridCol w:w="2962"/>
        <w:tblGridChange w:id="0">
          <w:tblGrid>
            <w:gridCol w:w="2937"/>
            <w:gridCol w:w="47"/>
            <w:gridCol w:w="3007"/>
            <w:gridCol w:w="47"/>
            <w:gridCol w:w="29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Alpină 92,53%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Continentală 7,47%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1,77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privind aprobarea Planului de amenajare a teritoriului național – Secțiunea a III-a – zone protejate, cu modificările și completările ulterioare: rezervația naturală RONPA0395 Plaiul Domnesc.</w:t>
      </w:r>
    </w:p>
    <w:p w:rsidR="00000000" w:rsidDel="00000000" w:rsidP="00000000" w:rsidRDefault="00000000" w:rsidRPr="00000000" w14:paraId="0000007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- </w:t>
      </w:r>
      <w:r w:rsidDel="00000000" w:rsidR="00000000" w:rsidRPr="00000000">
        <w:rPr>
          <w:sz w:val="22"/>
          <w:szCs w:val="22"/>
          <w:rtl w:val="0"/>
        </w:rPr>
        <w:t xml:space="preserve">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Layout w:type="fixed"/>
        <w:tblLook w:val="0000"/>
      </w:tblPr>
      <w:tblGrid>
        <w:gridCol w:w="4462"/>
        <w:gridCol w:w="4538"/>
        <w:tblGridChange w:id="0">
          <w:tblGrid>
            <w:gridCol w:w="4462"/>
            <w:gridCol w:w="45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9130 Păduri de fag de tip Asperulo-Fagetum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7E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1209 Rana dalmatina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1213 Rana temporaria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B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0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1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2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3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ggqp829htem0" w:id="1"/>
      <w:bookmarkEnd w:id="1"/>
      <w:r w:rsidDel="00000000" w:rsidR="00000000" w:rsidRPr="00000000">
        <w:rPr>
          <w:color w:val="000000"/>
          <w:sz w:val="22"/>
          <w:szCs w:val="22"/>
          <w:rtl w:val="0"/>
        </w:rPr>
        <w:t xml:space="preserve">- Chirita C., Vlad I., Paunescu C., Patrascoiu  N., Rosu C., Iancu I. 1977. Statiuni forestiere, Vol. II, , Ed. Academiei R.S.R., București</w:t>
      </w:r>
    </w:p>
    <w:p w:rsidR="00000000" w:rsidDel="00000000" w:rsidP="00000000" w:rsidRDefault="00000000" w:rsidRPr="00000000" w14:paraId="0000009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Doniţă, N., Ceianu, I., Purcelean, Ş., Beldie, A. 1977. Ecologie forestieră: (cu elemente de ecologie generală). Ed. Ceres</w:t>
      </w:r>
    </w:p>
    <w:p w:rsidR="00000000" w:rsidDel="00000000" w:rsidP="00000000" w:rsidRDefault="00000000" w:rsidRPr="00000000" w14:paraId="0000009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Donita N., Popescu A., Pauca-Comanescu M., Mihailescu S., Biris I. 2005. Habitatele din Romania”, Ed. Tehnica Silvica, București</w:t>
      </w:r>
    </w:p>
    <w:p w:rsidR="00000000" w:rsidDel="00000000" w:rsidP="00000000" w:rsidRDefault="00000000" w:rsidRPr="00000000" w14:paraId="0000009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Gafta D., Mountford J.O. 2008. Manual de interpretare a habitatelor Natura 2000 din Romania, Ed. RISOPRINT, editor M.M.D.D. 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ibprnt7cpvo8" w:id="2"/>
      <w:bookmarkEnd w:id="2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realizate: 10 februarie 2025 – Târgoviște, jud. Dâmbovița, 18 februarie 2025 – corespondență DS Dâmbovița.</w:t>
      </w:r>
    </w:p>
    <w:p w:rsidR="00000000" w:rsidDel="00000000" w:rsidP="00000000" w:rsidRDefault="00000000" w:rsidRPr="00000000" w14:paraId="000000A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au avut loc consultări suplimentară online în data de 18 decembrie 2025 cu participarea factorilor interesați relevanți județului Dâmbovița.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sunt disponibile în format digital: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m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1cHtF6yOAs8H9/8NrFnyinidTw==">CgMxLjAyDmgubjNqMnN1MWcxc2ZoMg5oLmdncXA4MjlodGVtMDIOaC5pYnBybnQ3Y3B2bzg4AHIhMWtmeDJheENPNVJPM3NoY2MzOTNITGw2V1NHU0M4ZFlB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